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BC" w:rsidRDefault="005B5BCA">
      <w:pPr>
        <w:pStyle w:val="Testopreformatta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Autocertificazione conoscenza lingue straniere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DICHIARAZIONE SOSTITUTIVA DI CERTIFICAZIONI</w:t>
      </w:r>
    </w:p>
    <w:p w:rsidR="001A50BC" w:rsidRDefault="005B5BCA">
      <w:pPr>
        <w:pStyle w:val="Testopreformatta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(Art. 46 D.P.R. 445 del 28/12/2000) 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_______________________________________________________ (_____________________) il ____________________ residente a ______________________________________________________ via ___________________________________________________________________________________ iscritto al Corso di laurea in ____________________________________________________________ consapevole delle sanzioni penali, nel caso di dichiarazioni non veritiere e falsità negli atti, richiamate dall’art. 76 D.P.R. 445 del 28/12/2000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DICHIARA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Ai fini del bando </w:t>
      </w:r>
      <w:r w:rsidR="007D069A">
        <w:rPr>
          <w:sz w:val="22"/>
          <w:szCs w:val="22"/>
        </w:rPr>
        <w:t>Erasmus studenti per l’</w:t>
      </w:r>
      <w:proofErr w:type="spellStart"/>
      <w:r w:rsidR="007D069A">
        <w:rPr>
          <w:sz w:val="22"/>
          <w:szCs w:val="22"/>
        </w:rPr>
        <w:t>a.a</w:t>
      </w:r>
      <w:proofErr w:type="spellEnd"/>
      <w:r w:rsidR="007D069A">
        <w:rPr>
          <w:sz w:val="22"/>
          <w:szCs w:val="22"/>
        </w:rPr>
        <w:t>. 2022/2023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di possedere una conoscenza della LINGUA STRANIERA: _______________________________________________________________________________________ corrispondente al Livello (CEF) ___________________ secondo la Tabella di sintesi dei livelli della “Classificazione Europea dei livelli di competenza linguistica – Quadro comune Europeo di Riferimento delle Lingue” 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>Luogo e data ___________________________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Il / La Dichiarante __________________________________ 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 xml:space="preserve">Quadro Comune Europeo di Riferimento delle Lingue Common </w:t>
      </w:r>
      <w:proofErr w:type="spellStart"/>
      <w:r>
        <w:rPr>
          <w:sz w:val="22"/>
          <w:szCs w:val="22"/>
        </w:rPr>
        <w:t>European</w:t>
      </w:r>
      <w:proofErr w:type="spellEnd"/>
      <w:r>
        <w:rPr>
          <w:sz w:val="22"/>
          <w:szCs w:val="22"/>
        </w:rPr>
        <w:t xml:space="preserve"> Framework of Reference (CEF)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>Qui di seguito i parametri dei livelli di competenza linguistica stabiliti dal Consiglio d'Europa - Quadro Comune Europeo di Riferimento –ai fini della classificazione e valutazione delle abilità linguistiche.</w:t>
      </w:r>
    </w:p>
    <w:p w:rsidR="001A50BC" w:rsidRDefault="005B5BCA">
      <w:pPr>
        <w:pStyle w:val="Testopreformatta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Tabella di sintesi dei livelli</w:t>
      </w: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>A1 - A2 Livello Base di competenza della lingua</w:t>
      </w: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>B1 - B2 Livello Autonomo di competenza della lingua</w:t>
      </w: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>C1 – C2 Livello di Padronanza di competenza della lingua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A1 Comprende e utilizza espressioni di uso quotidiano e formule comuni tese a soddisfare bisogni di tipo concreto. Sa presentare </w:t>
      </w:r>
      <w:proofErr w:type="gramStart"/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stesso ed è in grado di fare domande e rispondere su particolari personali (dove abita, le persone che conosce e le cose che possiede). Interagisce in modo semplice purché l’interlocutore parli lentamente e chiaramente e sia disposto a collaborare.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>A2 Comprende frasi isolate ed espressioni usate frequentemente relative ad ambiti di immediata rilevanza (informazioni di base sulla persona e la famiglia, acquisti, la geografia locale, l’occupazione). Comunica in attività semplici e di routine che richiedono uno scambio di informazioni semplici e dirette su argomenti familiari e abituali. Sa descrivere in termini semplici aspetti del proprio vissuto e dell'ambiente che lo circonda e sa esprimere bisogni immediati.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>B1 Comprende i punti chiave di messaggi in lingua standard su argomenti familiari che è solito affrontare nell’ambiente di lavoro, a scuola, nel tempo libero ecc. Sa muoversi in situazioni che possono verificarsi mentre viaggia nel paese in cui si parla la lingua studiata. È in grado di produrre testi semplici e coerenti su argomenti familiari o di interesse personale. È in grado di descrivere esperienze e avvenimenti, sogni, speranze, ambizioni, esporre brevemente ragioni, dare spiegazioni e opinioni dei propri progetti.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>B2 Comprende le idee fondamentali di testi complessi su argomenti sia concreti che astratti, comprese le discussioni tecniche nel proprio settore di specializzazione. È in grado di interagire con una scioltezza e spontaneità tali da rendere possibile l'interazione con i parlanti nativi senza sforzo e tensione per l'interlocutore. Sa produrre testi chiari e articolati su una vasta gamma di argomenti ed esprimere un punto di vista su argomenti d’attualità fornendo i pro e i contro delle diverse opzioni.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C1 Comprende un'ampia gamma di testi complessi e piuttosto lunghi e ne sa ricavare il significato implicito. Si esprime con scioltezza e naturalezza, senza sforzo nel cercare le parole adatte. Usa la lingua in modo flessibile ed efficace per scopi sociali, professionali e accademici. </w:t>
      </w: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in grado di produrre testi chiari, ben strutturati e dettagliati su argomenti complessi, mostrando un sicuro controllo della struttura discorsiva, dei connettivi e degli elementi di coesione.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p w:rsidR="001A50BC" w:rsidRDefault="005B5BCA">
      <w:pPr>
        <w:pStyle w:val="Testopreformatta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C2 Comprende con facilità praticamente tutto ciò che ascolta o legge. Sa riassumere informazioni provenienti da diverse fonti, scritte e orali, ristrutturando in modo coerente gli argomenti e le informazioni. Sa esprimersi spontaneamente, in modo molto scorrevole e preciso, individuando le più sottili sfumature di significato in situazioni complesse. </w:t>
      </w:r>
    </w:p>
    <w:p w:rsidR="001A50BC" w:rsidRDefault="001A50BC">
      <w:pPr>
        <w:pStyle w:val="Testopreformattato"/>
        <w:rPr>
          <w:rFonts w:hint="eastAsia"/>
          <w:sz w:val="22"/>
          <w:szCs w:val="22"/>
        </w:rPr>
      </w:pPr>
    </w:p>
    <w:sectPr w:rsidR="001A50B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BC"/>
    <w:rsid w:val="001A50BC"/>
    <w:rsid w:val="005B5BCA"/>
    <w:rsid w:val="007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E910"/>
  <w15:docId w15:val="{29B16268-A635-4C60-9CA3-B2F7713D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3</cp:revision>
  <dcterms:created xsi:type="dcterms:W3CDTF">2022-02-23T12:12:00Z</dcterms:created>
  <dcterms:modified xsi:type="dcterms:W3CDTF">2022-02-23T17:25:00Z</dcterms:modified>
  <dc:language>it-IT</dc:language>
</cp:coreProperties>
</file>